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DC" w:rsidRPr="00D4073A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D4073A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Příloha IV</w:t>
      </w:r>
      <w:r w:rsidR="004D2BDC" w:rsidRPr="00D4073A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- Matice logického rámce</w:t>
      </w:r>
    </w:p>
    <w:p w:rsidR="004D2BDC" w:rsidRPr="003A074C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3A074C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Ind w:w="-2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2"/>
        <w:gridCol w:w="3119"/>
        <w:gridCol w:w="3685"/>
        <w:gridCol w:w="3544"/>
        <w:gridCol w:w="3025"/>
      </w:tblGrid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Popis projektu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bCs/>
                <w:sz w:val="20"/>
              </w:rPr>
              <w:t>(intervenční logika)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Objektivně ověřitelné ukazatele</w:t>
            </w:r>
            <w:r w:rsidRPr="003A074C">
              <w:rPr>
                <w:rFonts w:ascii="Georgia" w:hAnsi="Georgia"/>
                <w:bCs/>
                <w:sz w:val="20"/>
              </w:rPr>
              <w:t xml:space="preserve"> (indikátory)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Předpoklady a rizika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bCs/>
                <w:sz w:val="20"/>
              </w:rPr>
              <w:t>(klíčové externí faktory ovlivňující průběh a úspěšnost projektu)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Záměr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Cíle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Výstupy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>Prostředky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>Rozpočet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 xml:space="preserve">Výchozí podmínky </w:t>
            </w:r>
            <w:r w:rsidRPr="003A074C">
              <w:rPr>
                <w:rFonts w:ascii="Georgia" w:hAnsi="Georgia"/>
                <w:sz w:val="20"/>
              </w:rPr>
              <w:t>(vstupní předpoklady)</w:t>
            </w:r>
          </w:p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:rsidR="005F28BE" w:rsidRDefault="005F28BE" w:rsidP="004D2BDC">
      <w:pPr>
        <w:rPr>
          <w:rFonts w:ascii="Georgia" w:hAnsi="Georgia"/>
          <w:sz w:val="22"/>
          <w:szCs w:val="22"/>
        </w:rPr>
      </w:pPr>
    </w:p>
    <w:p w:rsidR="005F28BE" w:rsidRDefault="005F28BE" w:rsidP="005F28BE">
      <w:r>
        <w:br w:type="page"/>
      </w:r>
    </w:p>
    <w:p w:rsidR="004D2BDC" w:rsidRPr="005F28BE" w:rsidRDefault="004D2BDC" w:rsidP="004D2BDC">
      <w:pPr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sz w:val="22"/>
          <w:szCs w:val="22"/>
        </w:rPr>
        <w:lastRenderedPageBreak/>
        <w:t>Komentář k jednotlivým sloupcům matice logického rámce:</w:t>
      </w:r>
    </w:p>
    <w:p w:rsidR="003A074C" w:rsidRPr="005F28BE" w:rsidRDefault="003A074C" w:rsidP="004D2BDC">
      <w:pPr>
        <w:rPr>
          <w:rFonts w:ascii="Georgia" w:hAnsi="Georgia"/>
          <w:sz w:val="22"/>
          <w:szCs w:val="22"/>
        </w:rPr>
      </w:pPr>
    </w:p>
    <w:p w:rsidR="004D2BDC" w:rsidRPr="005F28BE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5F28BE">
        <w:rPr>
          <w:rFonts w:ascii="Georgia" w:hAnsi="Georgia"/>
          <w:i/>
        </w:rPr>
        <w:t>1. sloupec</w:t>
      </w:r>
      <w:r w:rsidRPr="005F28BE">
        <w:rPr>
          <w:rFonts w:ascii="Georgia" w:hAnsi="Georgia"/>
        </w:rPr>
        <w:t xml:space="preserve"> – </w:t>
      </w:r>
      <w:r w:rsidRPr="005F28BE">
        <w:rPr>
          <w:rFonts w:ascii="Georgia" w:hAnsi="Georgia"/>
          <w:b/>
        </w:rPr>
        <w:t>Popis projektu</w:t>
      </w:r>
      <w:r w:rsidRPr="005F28BE">
        <w:rPr>
          <w:rFonts w:ascii="Georgia" w:hAnsi="Georgia"/>
        </w:rPr>
        <w:t xml:space="preserve"> (intervenční logika)</w:t>
      </w:r>
    </w:p>
    <w:p w:rsidR="004D2BDC" w:rsidRPr="005F28BE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sz w:val="22"/>
          <w:szCs w:val="22"/>
        </w:rPr>
        <w:t xml:space="preserve">Z prvního sloupce lze vyčíst </w:t>
      </w:r>
      <w:r w:rsidRPr="005F28BE">
        <w:rPr>
          <w:rFonts w:ascii="Georgia" w:hAnsi="Georgia"/>
          <w:b/>
          <w:sz w:val="22"/>
          <w:szCs w:val="22"/>
        </w:rPr>
        <w:t>základní strategii projektu s předpokládanými kauzálními vztahy</w:t>
      </w:r>
      <w:r w:rsidRPr="005F28BE">
        <w:rPr>
          <w:rFonts w:ascii="Georgia" w:hAnsi="Georgia"/>
          <w:sz w:val="22"/>
          <w:szCs w:val="22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:rsidR="004D2BDC" w:rsidRPr="005F28BE" w:rsidRDefault="004D2BDC" w:rsidP="005F28BE">
      <w:pPr>
        <w:pStyle w:val="Normlnodsazen"/>
        <w:spacing w:after="120" w:line="240" w:lineRule="auto"/>
        <w:ind w:left="0"/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sz w:val="22"/>
          <w:szCs w:val="22"/>
        </w:rPr>
        <w:t>Tato logika ovšem předpokládá současné splnění předpokladů, definovaných ve čtvrtém sloupci matice, na příslušné úrovni podle vertikální logiky projektu.</w:t>
      </w:r>
    </w:p>
    <w:p w:rsidR="004D2BDC" w:rsidRPr="005F28BE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5F28BE">
        <w:rPr>
          <w:rFonts w:ascii="Georgia" w:hAnsi="Georgia"/>
          <w:i/>
        </w:rPr>
        <w:t>2. sloupec</w:t>
      </w:r>
      <w:r w:rsidRPr="005F28BE">
        <w:rPr>
          <w:rFonts w:ascii="Georgia" w:hAnsi="Georgia"/>
        </w:rPr>
        <w:t xml:space="preserve"> – </w:t>
      </w:r>
      <w:r w:rsidRPr="005F28BE">
        <w:rPr>
          <w:rFonts w:ascii="Georgia" w:hAnsi="Georgia"/>
          <w:b/>
        </w:rPr>
        <w:t>Objektivně ověřitelné ukazatele</w:t>
      </w:r>
    </w:p>
    <w:p w:rsidR="004D2BDC" w:rsidRPr="005F28BE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sz w:val="22"/>
          <w:szCs w:val="22"/>
        </w:rPr>
        <w:t>Objektivně měřitelné ukazatele jsou indikátory, pomocí kterých ověřujeme, zda došlo k dosažení výstupů, cílů a záměru projektu. Indikátory musí být „</w:t>
      </w:r>
      <w:r w:rsidRPr="005F28BE">
        <w:rPr>
          <w:rFonts w:ascii="Georgia" w:hAnsi="Georgia"/>
          <w:b/>
          <w:sz w:val="22"/>
          <w:szCs w:val="22"/>
        </w:rPr>
        <w:t>SMART</w:t>
      </w:r>
      <w:r w:rsidRPr="005F28BE">
        <w:rPr>
          <w:rFonts w:ascii="Georgia" w:hAnsi="Georgia"/>
          <w:sz w:val="22"/>
          <w:szCs w:val="22"/>
        </w:rPr>
        <w:t xml:space="preserve">“ – </w:t>
      </w:r>
      <w:proofErr w:type="spellStart"/>
      <w:r w:rsidRPr="005F28BE">
        <w:rPr>
          <w:rFonts w:ascii="Georgia" w:hAnsi="Georgia"/>
          <w:i/>
          <w:sz w:val="22"/>
          <w:szCs w:val="22"/>
        </w:rPr>
        <w:t>Specific</w:t>
      </w:r>
      <w:proofErr w:type="spellEnd"/>
      <w:r w:rsidRPr="005F28BE">
        <w:rPr>
          <w:rFonts w:ascii="Georgia" w:hAnsi="Georgia"/>
          <w:sz w:val="22"/>
          <w:szCs w:val="22"/>
        </w:rPr>
        <w:t xml:space="preserve"> (specifické, pro každou měřenou úroveň), </w:t>
      </w:r>
      <w:proofErr w:type="spellStart"/>
      <w:r w:rsidRPr="005F28BE">
        <w:rPr>
          <w:rFonts w:ascii="Georgia" w:hAnsi="Georgia"/>
          <w:i/>
          <w:sz w:val="22"/>
          <w:szCs w:val="22"/>
        </w:rPr>
        <w:t>Measurable</w:t>
      </w:r>
      <w:proofErr w:type="spellEnd"/>
      <w:r w:rsidRPr="005F28BE">
        <w:rPr>
          <w:rFonts w:ascii="Georgia" w:hAnsi="Georgia"/>
          <w:sz w:val="22"/>
          <w:szCs w:val="22"/>
        </w:rPr>
        <w:t xml:space="preserve"> (měřitelné), </w:t>
      </w:r>
      <w:proofErr w:type="spellStart"/>
      <w:r w:rsidRPr="005F28BE">
        <w:rPr>
          <w:rFonts w:ascii="Georgia" w:hAnsi="Georgia"/>
          <w:i/>
          <w:sz w:val="22"/>
          <w:szCs w:val="22"/>
        </w:rPr>
        <w:t>Achievable</w:t>
      </w:r>
      <w:proofErr w:type="spellEnd"/>
      <w:r w:rsidRPr="005F28BE">
        <w:rPr>
          <w:rFonts w:ascii="Georgia" w:hAnsi="Georgia"/>
          <w:sz w:val="22"/>
          <w:szCs w:val="22"/>
        </w:rPr>
        <w:t xml:space="preserve"> (dostupné s přijatelnými náklady), </w:t>
      </w:r>
      <w:proofErr w:type="spellStart"/>
      <w:r w:rsidRPr="005F28BE">
        <w:rPr>
          <w:rFonts w:ascii="Georgia" w:hAnsi="Georgia"/>
          <w:i/>
          <w:sz w:val="22"/>
          <w:szCs w:val="22"/>
        </w:rPr>
        <w:t>Relevant</w:t>
      </w:r>
      <w:proofErr w:type="spellEnd"/>
      <w:r w:rsidRPr="005F28BE">
        <w:rPr>
          <w:rFonts w:ascii="Georgia" w:hAnsi="Georgia"/>
          <w:i/>
          <w:sz w:val="22"/>
          <w:szCs w:val="22"/>
        </w:rPr>
        <w:t xml:space="preserve"> </w:t>
      </w:r>
      <w:r w:rsidRPr="005F28BE">
        <w:rPr>
          <w:rFonts w:ascii="Georgia" w:hAnsi="Georgia"/>
          <w:sz w:val="22"/>
          <w:szCs w:val="22"/>
        </w:rPr>
        <w:t xml:space="preserve">(relevantní) a </w:t>
      </w:r>
      <w:proofErr w:type="spellStart"/>
      <w:r w:rsidRPr="005F28BE">
        <w:rPr>
          <w:rFonts w:ascii="Georgia" w:hAnsi="Georgia"/>
          <w:i/>
          <w:sz w:val="22"/>
          <w:szCs w:val="22"/>
        </w:rPr>
        <w:t>Time-bound</w:t>
      </w:r>
      <w:proofErr w:type="spellEnd"/>
      <w:r w:rsidRPr="005F28BE">
        <w:rPr>
          <w:rFonts w:ascii="Georgia" w:hAnsi="Georgia"/>
          <w:sz w:val="22"/>
          <w:szCs w:val="22"/>
        </w:rPr>
        <w:t xml:space="preserve"> (platné v konkrétním čase). </w:t>
      </w:r>
    </w:p>
    <w:p w:rsidR="004D2BDC" w:rsidRPr="005F28BE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5F28BE">
        <w:rPr>
          <w:rFonts w:ascii="Georgia" w:hAnsi="Georgia"/>
          <w:i/>
        </w:rPr>
        <w:t>3. sloupec</w:t>
      </w:r>
      <w:r w:rsidRPr="005F28BE">
        <w:rPr>
          <w:rFonts w:ascii="Georgia" w:hAnsi="Georgia"/>
        </w:rPr>
        <w:t xml:space="preserve"> – </w:t>
      </w:r>
      <w:r w:rsidRPr="005F28BE">
        <w:rPr>
          <w:rFonts w:ascii="Georgia" w:hAnsi="Georgia"/>
          <w:b/>
        </w:rPr>
        <w:t>Zdroje ověření ukazatelů</w:t>
      </w:r>
    </w:p>
    <w:p w:rsidR="004D2BDC" w:rsidRPr="005F28BE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sz w:val="22"/>
          <w:szCs w:val="22"/>
        </w:rPr>
        <w:t xml:space="preserve">Zdroje ověření se vztahují </w:t>
      </w:r>
      <w:r w:rsidRPr="005F28BE">
        <w:rPr>
          <w:rFonts w:ascii="Georgia" w:hAnsi="Georgia"/>
          <w:b/>
          <w:sz w:val="22"/>
          <w:szCs w:val="22"/>
        </w:rPr>
        <w:t>k jednotlivým indikátorům</w:t>
      </w:r>
      <w:r w:rsidRPr="005F28BE">
        <w:rPr>
          <w:rFonts w:ascii="Georgia" w:hAnsi="Georgia"/>
          <w:sz w:val="22"/>
          <w:szCs w:val="22"/>
        </w:rPr>
        <w:t xml:space="preserve"> a specifikují, z jakých zdrojů bude příslušná informace získána, kým bude poskytnuta a také kdy nebo jak často. </w:t>
      </w:r>
    </w:p>
    <w:p w:rsidR="004D2BDC" w:rsidRPr="005F28BE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5F28BE">
        <w:rPr>
          <w:rFonts w:ascii="Georgia" w:hAnsi="Georgia"/>
          <w:i/>
        </w:rPr>
        <w:t>4. sloupec</w:t>
      </w:r>
      <w:r w:rsidRPr="005F28BE">
        <w:rPr>
          <w:rFonts w:ascii="Georgia" w:hAnsi="Georgia"/>
        </w:rPr>
        <w:t xml:space="preserve"> – </w:t>
      </w:r>
      <w:r w:rsidRPr="005F28BE">
        <w:rPr>
          <w:rFonts w:ascii="Georgia" w:hAnsi="Georgia"/>
          <w:b/>
        </w:rPr>
        <w:t>Předpoklady a rizika</w:t>
      </w:r>
    </w:p>
    <w:p w:rsidR="004D2BDC" w:rsidRPr="005F28BE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b/>
          <w:sz w:val="22"/>
          <w:szCs w:val="22"/>
        </w:rPr>
        <w:t>Předpokladem</w:t>
      </w:r>
      <w:r w:rsidRPr="005F28BE">
        <w:rPr>
          <w:rFonts w:ascii="Georgia" w:hAnsi="Georgia"/>
          <w:sz w:val="22"/>
          <w:szCs w:val="22"/>
        </w:rPr>
        <w:t xml:space="preserve"> se rozumí </w:t>
      </w:r>
      <w:r w:rsidRPr="005F28BE">
        <w:rPr>
          <w:rFonts w:ascii="Georgia" w:hAnsi="Georgia"/>
          <w:b/>
          <w:sz w:val="22"/>
          <w:szCs w:val="22"/>
        </w:rPr>
        <w:t>externí faktor</w:t>
      </w:r>
      <w:r w:rsidRPr="005F28BE">
        <w:rPr>
          <w:rFonts w:ascii="Georgia" w:hAnsi="Georgia"/>
          <w:sz w:val="22"/>
          <w:szCs w:val="22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:rsidR="004D2BDC" w:rsidRPr="005F28BE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sz w:val="22"/>
          <w:szCs w:val="22"/>
        </w:rPr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  <w:bookmarkStart w:id="0" w:name="_GoBack"/>
      <w:bookmarkEnd w:id="0"/>
    </w:p>
    <w:p w:rsidR="00482E74" w:rsidRPr="005F28BE" w:rsidRDefault="004D2BDC">
      <w:pPr>
        <w:rPr>
          <w:rFonts w:ascii="Georgia" w:hAnsi="Georgia"/>
          <w:sz w:val="22"/>
          <w:szCs w:val="22"/>
        </w:rPr>
      </w:pPr>
      <w:r w:rsidRPr="005F28BE">
        <w:rPr>
          <w:rFonts w:ascii="Georgia" w:hAnsi="Georgia"/>
          <w:b/>
          <w:sz w:val="22"/>
          <w:szCs w:val="22"/>
        </w:rPr>
        <w:t>Rizikem</w:t>
      </w:r>
      <w:r w:rsidRPr="005F28BE">
        <w:rPr>
          <w:rFonts w:ascii="Georgia" w:hAnsi="Georgia"/>
          <w:sz w:val="22"/>
          <w:szCs w:val="22"/>
        </w:rPr>
        <w:t xml:space="preserve"> je pak </w:t>
      </w:r>
      <w:r w:rsidRPr="005F28BE">
        <w:rPr>
          <w:rFonts w:ascii="Georgia" w:hAnsi="Georgia"/>
          <w:b/>
          <w:sz w:val="22"/>
          <w:szCs w:val="22"/>
        </w:rPr>
        <w:t>negativní externí faktor</w:t>
      </w:r>
      <w:r w:rsidRPr="005F28BE">
        <w:rPr>
          <w:rFonts w:ascii="Georgia" w:hAnsi="Georgia"/>
          <w:sz w:val="22"/>
          <w:szCs w:val="22"/>
        </w:rPr>
        <w:t xml:space="preserve">, který může nezávisle na vůli managementu ovlivnit průběh či úspěch projektu. </w:t>
      </w:r>
      <w:proofErr w:type="spellStart"/>
      <w:r w:rsidRPr="005F28BE">
        <w:rPr>
          <w:rFonts w:ascii="Georgia" w:hAnsi="Georgia"/>
          <w:sz w:val="22"/>
          <w:szCs w:val="22"/>
        </w:rPr>
        <w:t>Manager</w:t>
      </w:r>
      <w:proofErr w:type="spellEnd"/>
      <w:r w:rsidRPr="005F28BE">
        <w:rPr>
          <w:rFonts w:ascii="Georgia" w:hAnsi="Georgia"/>
          <w:sz w:val="22"/>
          <w:szCs w:val="22"/>
        </w:rPr>
        <w:t xml:space="preserve"> projektu musí zhodnotit reálná rizika a při přípravě projektu uvažovat opatření, která mohou tato rizika zmírnit či eliminovat.</w:t>
      </w:r>
      <w:r w:rsidR="00806EF3" w:rsidRPr="005F28B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70DBA94C" wp14:editId="35FAB01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5F28B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D420FFC" wp14:editId="1A6C2824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5F28BE" w:rsidSect="00424F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25A" w:rsidRDefault="00D5425A" w:rsidP="00806EF3">
      <w:r>
        <w:separator/>
      </w:r>
    </w:p>
  </w:endnote>
  <w:endnote w:type="continuationSeparator" w:id="0">
    <w:p w:rsidR="00D5425A" w:rsidRDefault="00D5425A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E7F83B9" wp14:editId="7CED3C53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430408D" wp14:editId="3A29399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A922912" wp14:editId="343E76A0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B599EDB" wp14:editId="1830236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9CA28B1" wp14:editId="2B87C9B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13527342" wp14:editId="5D1C7587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27D5B1FB" wp14:editId="4C19C047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2F23252" wp14:editId="7081350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25A" w:rsidRDefault="00D5425A" w:rsidP="00806EF3">
      <w:r>
        <w:separator/>
      </w:r>
    </w:p>
  </w:footnote>
  <w:footnote w:type="continuationSeparator" w:id="0">
    <w:p w:rsidR="00D5425A" w:rsidRDefault="00D5425A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27DD1595" wp14:editId="6791B14B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05AAB"/>
    <w:rsid w:val="00122883"/>
    <w:rsid w:val="003A074C"/>
    <w:rsid w:val="00424FC4"/>
    <w:rsid w:val="00482E74"/>
    <w:rsid w:val="004A7B38"/>
    <w:rsid w:val="004D2BDC"/>
    <w:rsid w:val="00567915"/>
    <w:rsid w:val="005C47CD"/>
    <w:rsid w:val="005F28BE"/>
    <w:rsid w:val="00784DF7"/>
    <w:rsid w:val="007A74F2"/>
    <w:rsid w:val="00806EF3"/>
    <w:rsid w:val="00D4073A"/>
    <w:rsid w:val="00D5425A"/>
    <w:rsid w:val="00EF4999"/>
    <w:rsid w:val="00FC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C1219-C734-4397-9735-BEF4F5D9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10</cp:revision>
  <dcterms:created xsi:type="dcterms:W3CDTF">2017-02-02T16:51:00Z</dcterms:created>
  <dcterms:modified xsi:type="dcterms:W3CDTF">2018-09-03T08:36:00Z</dcterms:modified>
</cp:coreProperties>
</file>